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体育学院202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年硕士研究生复试工作进程表</w:t>
      </w:r>
    </w:p>
    <w:bookmarkEnd w:id="0"/>
    <w:tbl>
      <w:tblPr>
        <w:tblStyle w:val="4"/>
        <w:tblW w:w="83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3"/>
        <w:gridCol w:w="3128"/>
        <w:gridCol w:w="24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353535"/>
                <w:sz w:val="21"/>
                <w:szCs w:val="21"/>
              </w:rPr>
              <w:t>时间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353535"/>
                <w:sz w:val="21"/>
                <w:szCs w:val="21"/>
              </w:rPr>
              <w:t>工作内容</w:t>
            </w:r>
          </w:p>
        </w:tc>
        <w:tc>
          <w:tcPr>
            <w:tcW w:w="2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353535"/>
                <w:sz w:val="21"/>
                <w:szCs w:val="21"/>
              </w:rPr>
              <w:t>执行单位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Style w:val="7"/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3月18日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18" w:lineRule="atLeast"/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18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召开学院招生复试</w:t>
            </w: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  <w:lang w:val="en-US" w:eastAsia="zh-CN"/>
              </w:rPr>
              <w:t>录取工作</w:t>
            </w: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会，传达学校研究生招生录取工作的安排意见，部署学院研究生复试工作。</w:t>
            </w:r>
          </w:p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bCs/>
                <w:color w:val="353535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bCs/>
                <w:color w:val="35353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体育学院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  <w:jc w:val="center"/>
        </w:trPr>
        <w:tc>
          <w:tcPr>
            <w:tcW w:w="2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3月19日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18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向学校研究生院提交《体育学院202</w:t>
            </w: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年硕士研究生招生复试工作细则》，经研究生院同意后公示。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体育学院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0" w:hRule="atLeast"/>
          <w:jc w:val="center"/>
        </w:trPr>
        <w:tc>
          <w:tcPr>
            <w:tcW w:w="2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3月19-20日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18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1.培训复试工作人员。对所有参加复试人员进行政策、业务、纪律和工作程序、评判规则和标准进行培训。</w:t>
            </w:r>
          </w:p>
          <w:p>
            <w:pPr>
              <w:pStyle w:val="3"/>
              <w:widowControl/>
              <w:spacing w:beforeAutospacing="0" w:afterAutospacing="0" w:line="18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2.按研究生院的工作部署对一志愿考生进行复试确认。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体育学院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  <w:jc w:val="center"/>
        </w:trPr>
        <w:tc>
          <w:tcPr>
            <w:tcW w:w="2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3月24日-25日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18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审核复试研究生资格；</w:t>
            </w:r>
          </w:p>
          <w:p>
            <w:pPr>
              <w:pStyle w:val="3"/>
              <w:widowControl/>
              <w:spacing w:beforeAutospacing="0" w:afterAutospacing="0" w:line="252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组织复试。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体育学院</w:t>
            </w:r>
          </w:p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  <w:jc w:val="center"/>
        </w:trPr>
        <w:tc>
          <w:tcPr>
            <w:tcW w:w="2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3月27日</w:t>
            </w:r>
          </w:p>
        </w:tc>
        <w:tc>
          <w:tcPr>
            <w:tcW w:w="3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18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汇总考生复试成绩，并确定202</w:t>
            </w: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年硕士研究生拟录取名单及意见，报研究生院招生复试</w:t>
            </w: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  <w:lang w:val="en-US" w:eastAsia="zh-CN"/>
              </w:rPr>
              <w:t>委员会。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52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53535"/>
                <w:sz w:val="21"/>
                <w:szCs w:val="21"/>
              </w:rPr>
              <w:t>体育学院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252" w:lineRule="atLeast"/>
        <w:jc w:val="both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b/>
          <w:kern w:val="2"/>
          <w:sz w:val="28"/>
          <w:szCs w:val="28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252" w:lineRule="atLeast"/>
        <w:ind w:firstLine="384"/>
        <w:jc w:val="center"/>
        <w:rPr>
          <w:rFonts w:hint="eastAsia" w:ascii="仿宋_GB2312" w:hAnsi="仿宋_GB2312" w:eastAsia="仿宋_GB2312" w:cs="仿宋_GB2312"/>
          <w:color w:val="353535"/>
          <w:sz w:val="19"/>
          <w:szCs w:val="19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2378042A"/>
    <w:rsid w:val="2378042A"/>
    <w:rsid w:val="2D763723"/>
    <w:rsid w:val="3FE326DE"/>
    <w:rsid w:val="680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2026-03-20T02:58:00Z</dcterms:created>
  <dc:creator>fu2***@*****mail.site</dc:creator>
  <cp:lastModifiedBy>fu2***@*****mail.site</cp:lastModifiedBy>
  <dcterms:modified xsi:type="dcterms:W3CDTF">2026-03-20T03:05:00Z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6EFA71794DC0477AAADAD84C0093956E_13</vt:lpwstr>
  </property>
</Properties>
</file>